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2A" w:rsidRPr="00634A2A" w:rsidRDefault="00634A2A" w:rsidP="00634A2A">
      <w:pPr>
        <w:shd w:val="clear" w:color="auto" w:fill="FFFFFF"/>
        <w:spacing w:before="360" w:after="100" w:afterAutospacing="1" w:line="600" w:lineRule="atLeast"/>
        <w:jc w:val="center"/>
        <w:outlineLvl w:val="0"/>
        <w:rPr>
          <w:rFonts w:ascii="Montserrat" w:hAnsi="Montserrat"/>
          <w:b/>
          <w:bCs/>
          <w:color w:val="273350"/>
          <w:kern w:val="36"/>
          <w:sz w:val="48"/>
          <w:szCs w:val="48"/>
        </w:rPr>
      </w:pPr>
      <w:r w:rsidRPr="00634A2A">
        <w:rPr>
          <w:rFonts w:ascii="Montserrat" w:hAnsi="Montserrat"/>
          <w:b/>
          <w:bCs/>
          <w:color w:val="273350"/>
          <w:kern w:val="36"/>
          <w:sz w:val="48"/>
          <w:szCs w:val="48"/>
        </w:rPr>
        <w:t>Обзор изменений законодательства о противодействии коррупции</w:t>
      </w:r>
    </w:p>
    <w:p w:rsidR="00634A2A" w:rsidRPr="00634A2A" w:rsidRDefault="00634A2A" w:rsidP="00634A2A">
      <w:pPr>
        <w:shd w:val="clear" w:color="auto" w:fill="FFFFFF"/>
        <w:jc w:val="center"/>
        <w:rPr>
          <w:rFonts w:ascii="Montserrat" w:hAnsi="Montserrat"/>
          <w:b/>
          <w:color w:val="273350"/>
          <w:u w:val="single"/>
        </w:rPr>
      </w:pPr>
      <w:r w:rsidRPr="00634A2A">
        <w:rPr>
          <w:rFonts w:ascii="Montserrat" w:hAnsi="Montserrat"/>
          <w:b/>
          <w:color w:val="273350"/>
          <w:u w:val="single"/>
        </w:rPr>
        <w:t>2024</w:t>
      </w:r>
    </w:p>
    <w:p w:rsidR="00634A2A" w:rsidRPr="00634A2A" w:rsidRDefault="00634A2A" w:rsidP="00634A2A">
      <w:pPr>
        <w:shd w:val="clear" w:color="auto" w:fill="FFFFFF"/>
        <w:jc w:val="center"/>
        <w:rPr>
          <w:rFonts w:ascii="Montserrat" w:hAnsi="Montserrat"/>
          <w:b/>
          <w:color w:val="273350"/>
          <w:u w:val="single"/>
        </w:rPr>
      </w:pPr>
      <w:r w:rsidRPr="00634A2A">
        <w:rPr>
          <w:rFonts w:ascii="Montserrat" w:hAnsi="Montserrat"/>
          <w:b/>
          <w:color w:val="273350"/>
          <w:u w:val="single"/>
        </w:rPr>
        <w:t>Обзор за 1 квартал 2024</w:t>
      </w:r>
    </w:p>
    <w:p w:rsidR="00634A2A" w:rsidRPr="00634A2A" w:rsidRDefault="00634A2A" w:rsidP="00634A2A">
      <w:pPr>
        <w:shd w:val="clear" w:color="auto" w:fill="FFFFFF"/>
        <w:spacing w:before="90" w:after="210"/>
        <w:jc w:val="center"/>
        <w:rPr>
          <w:rFonts w:ascii="Montserrat" w:hAnsi="Montserrat"/>
          <w:color w:val="273350"/>
        </w:rPr>
      </w:pPr>
      <w:r w:rsidRPr="00634A2A">
        <w:rPr>
          <w:rFonts w:ascii="Montserrat" w:hAnsi="Montserrat"/>
          <w:b/>
          <w:bCs/>
          <w:color w:val="273350"/>
        </w:rPr>
        <w:t>Обзор изменений в законодательстве по противодействию коррупции за 1 квартал 2024 года</w:t>
      </w:r>
    </w:p>
    <w:p w:rsidR="00634A2A" w:rsidRPr="00634A2A" w:rsidRDefault="00634A2A" w:rsidP="00634A2A">
      <w:pPr>
        <w:shd w:val="clear" w:color="auto" w:fill="FFFFFF"/>
        <w:spacing w:before="90" w:after="210"/>
        <w:jc w:val="both"/>
        <w:rPr>
          <w:color w:val="273350"/>
        </w:rPr>
      </w:pPr>
      <w:r w:rsidRPr="00634A2A">
        <w:rPr>
          <w:b/>
          <w:bCs/>
          <w:color w:val="273350"/>
        </w:rPr>
        <w:t xml:space="preserve">Федеральным законом от 12 декабря 2023 г. № 594-ФЗ  внесены изменения в статью 12 Федерального закона «О системе государственной службы Российской Федерации» и отдельные законодательные акты Российской Федерации, в том числе </w:t>
      </w:r>
      <w:proofErr w:type="gramStart"/>
      <w:r w:rsidRPr="00634A2A">
        <w:rPr>
          <w:b/>
          <w:bCs/>
          <w:color w:val="273350"/>
        </w:rPr>
        <w:t>в</w:t>
      </w:r>
      <w:proofErr w:type="gramEnd"/>
      <w:r w:rsidRPr="00634A2A">
        <w:rPr>
          <w:b/>
          <w:bCs/>
          <w:color w:val="273350"/>
        </w:rPr>
        <w:t xml:space="preserve"> Федеральный закона от 2 марта 2007 № 25-ФЗ «О муниципальной службе»</w:t>
      </w:r>
    </w:p>
    <w:p w:rsidR="00634A2A" w:rsidRPr="00634A2A" w:rsidRDefault="00634A2A" w:rsidP="00634A2A">
      <w:pPr>
        <w:shd w:val="clear" w:color="auto" w:fill="FFFFFF"/>
        <w:spacing w:before="90" w:after="210"/>
        <w:jc w:val="both"/>
        <w:rPr>
          <w:color w:val="273350"/>
        </w:rPr>
      </w:pPr>
      <w:r w:rsidRPr="00634A2A">
        <w:rPr>
          <w:b/>
          <w:bCs/>
          <w:color w:val="273350"/>
        </w:rPr>
        <w:t>Установлена единая форма анкеты, представляемой гражданами при поступлении на государственную или муниципальную службу</w:t>
      </w:r>
    </w:p>
    <w:p w:rsidR="00634A2A" w:rsidRPr="00634A2A" w:rsidRDefault="00634A2A" w:rsidP="00634A2A">
      <w:pPr>
        <w:shd w:val="clear" w:color="auto" w:fill="FFFFFF"/>
        <w:spacing w:before="90" w:after="210"/>
        <w:jc w:val="both"/>
        <w:rPr>
          <w:color w:val="273350"/>
        </w:rPr>
      </w:pPr>
      <w:r w:rsidRPr="00634A2A">
        <w:rPr>
          <w:color w:val="273350"/>
        </w:rPr>
        <w:t>Предусмотрена обязанность государственных и муниципальных служащих письменно сообщать об изменении сведений, содержащихся в анкете. Указанные</w:t>
      </w:r>
      <w:r w:rsidRPr="00634A2A">
        <w:rPr>
          <w:color w:val="273350"/>
        </w:rPr>
        <w:br/>
        <w:t>в анкете сведения проверяются по решению представителя нанимателя, работодателя или уполномоченного им лица кадровой службу государственного или муниципального органа, которая направляет в органы публичной власти и организации письменные запросы. Срок ответа на запрос - не позднее 1 месяца.</w:t>
      </w:r>
    </w:p>
    <w:p w:rsidR="00634A2A" w:rsidRPr="00634A2A" w:rsidRDefault="00634A2A" w:rsidP="00634A2A">
      <w:pPr>
        <w:shd w:val="clear" w:color="auto" w:fill="FFFFFF"/>
        <w:spacing w:before="90" w:after="210"/>
        <w:jc w:val="both"/>
        <w:rPr>
          <w:color w:val="273350"/>
        </w:rPr>
      </w:pPr>
      <w:r w:rsidRPr="00634A2A">
        <w:rPr>
          <w:color w:val="273350"/>
        </w:rPr>
        <w:t>Служебный контракт или трудовой договор можно расторгнуть в случае представления при поступлении на государственную или муниципальную службу либо в период ее прохождения подложных документов или заведомо ложных сведений, нарушение которых препятствует замещению должности, а также в случае непредставления документов или сведений, свидетельствующих о несоблюдении таких ограничений, запретов и требований. </w:t>
      </w:r>
      <w:r w:rsidRPr="00634A2A">
        <w:rPr>
          <w:b/>
          <w:bCs/>
          <w:i/>
          <w:iCs/>
          <w:color w:val="273350"/>
        </w:rPr>
        <w:t>Начало действия документа - 12.03.2024</w:t>
      </w:r>
      <w:r w:rsidRPr="00634A2A">
        <w:rPr>
          <w:i/>
          <w:iCs/>
          <w:color w:val="273350"/>
        </w:rPr>
        <w:t>.</w:t>
      </w:r>
    </w:p>
    <w:p w:rsidR="00634A2A" w:rsidRPr="00634A2A" w:rsidRDefault="00634A2A" w:rsidP="00634A2A">
      <w:pPr>
        <w:shd w:val="clear" w:color="auto" w:fill="FFFFFF"/>
        <w:spacing w:before="90"/>
        <w:jc w:val="both"/>
        <w:rPr>
          <w:color w:val="273350"/>
        </w:rPr>
      </w:pPr>
      <w:r w:rsidRPr="00634A2A">
        <w:rPr>
          <w:b/>
          <w:bCs/>
          <w:color w:val="273350"/>
        </w:rPr>
        <w:t>Письмо Минтруда России от 12.02.2024 N 28-7/10/В-2237 "О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год)"</w:t>
      </w:r>
    </w:p>
    <w:tbl>
      <w:tblPr>
        <w:tblW w:w="17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634A2A" w:rsidRPr="00634A2A" w:rsidTr="00634A2A">
        <w:tc>
          <w:tcPr>
            <w:tcW w:w="0" w:type="auto"/>
            <w:vAlign w:val="center"/>
            <w:hideMark/>
          </w:tcPr>
          <w:p w:rsidR="00634A2A" w:rsidRPr="00634A2A" w:rsidRDefault="00634A2A" w:rsidP="00634A2A">
            <w:pPr>
              <w:jc w:val="both"/>
            </w:pPr>
          </w:p>
        </w:tc>
      </w:tr>
    </w:tbl>
    <w:p w:rsidR="00634A2A" w:rsidRPr="00634A2A" w:rsidRDefault="00634A2A" w:rsidP="00634A2A">
      <w:pPr>
        <w:shd w:val="clear" w:color="auto" w:fill="FFFFFF"/>
        <w:spacing w:before="90" w:after="210"/>
        <w:jc w:val="both"/>
        <w:rPr>
          <w:color w:val="273350"/>
        </w:rPr>
      </w:pPr>
      <w:proofErr w:type="gramStart"/>
      <w:r w:rsidRPr="00634A2A">
        <w:rPr>
          <w:color w:val="273350"/>
        </w:rPr>
        <w:t>Методические рекомендации размещены на официальном сайте Минтруда России в сети "Интернет" в подразделе "Представление сведений о доходах, расходах, об имуществе и обязательствах имущественного характера" раздела "Деятельность/Государственное управление/Политика в сфере противодействия коррупции/Методические материалы по вопросам противодействия коррупции" и доступны для скачивания и ознакомления по ссылке: https://fexch.mintrud.gov.ru/s/PSaecEPzBi368YH, а также в ближайшее время будут</w:t>
      </w:r>
      <w:proofErr w:type="gramEnd"/>
      <w:r w:rsidRPr="00634A2A">
        <w:rPr>
          <w:color w:val="273350"/>
        </w:rPr>
        <w:t xml:space="preserve"> </w:t>
      </w:r>
      <w:proofErr w:type="gramStart"/>
      <w:r w:rsidRPr="00634A2A">
        <w:rPr>
          <w:color w:val="273350"/>
        </w:rPr>
        <w:t>размещены</w:t>
      </w:r>
      <w:proofErr w:type="gramEnd"/>
      <w:r w:rsidRPr="00634A2A">
        <w:rPr>
          <w:color w:val="273350"/>
        </w:rPr>
        <w:t xml:space="preserve"> по ссылке: https://mintrud.gov.ru/ministry/programms/anticorruption/9/5.</w:t>
      </w:r>
    </w:p>
    <w:p w:rsidR="00634A2A" w:rsidRPr="00634A2A" w:rsidRDefault="00634A2A" w:rsidP="00634A2A">
      <w:pPr>
        <w:shd w:val="clear" w:color="auto" w:fill="FFFFFF"/>
        <w:spacing w:before="90" w:after="210"/>
        <w:jc w:val="both"/>
        <w:rPr>
          <w:color w:val="273350"/>
        </w:rPr>
      </w:pPr>
      <w:r w:rsidRPr="00634A2A">
        <w:rPr>
          <w:color w:val="273350"/>
        </w:rPr>
        <w:t>Приведены основные новеллы, на которые следует обратить внимание при использовании методических рекомендаций за отчетный 2023 год.</w:t>
      </w:r>
    </w:p>
    <w:p w:rsidR="00634A2A" w:rsidRPr="00634A2A" w:rsidRDefault="00634A2A" w:rsidP="00634A2A">
      <w:pPr>
        <w:shd w:val="clear" w:color="auto" w:fill="FFFFFF"/>
        <w:spacing w:before="90"/>
        <w:jc w:val="both"/>
        <w:rPr>
          <w:color w:val="273350"/>
        </w:rPr>
      </w:pPr>
      <w:r w:rsidRPr="00634A2A">
        <w:rPr>
          <w:color w:val="273350"/>
        </w:rPr>
        <w:t>Также отмечается, что методические рекомендации за отчетный 2022 год, направленные письмом Минтруда России от 30 декабря 2022 г. N 28-6/10/В-18597, подлежали использованию только в отношении сведений, представляемых в ходе декларационной кампании 2023 года.</w:t>
      </w:r>
    </w:p>
    <w:tbl>
      <w:tblPr>
        <w:tblW w:w="17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634A2A" w:rsidRPr="00634A2A" w:rsidTr="00634A2A">
        <w:tc>
          <w:tcPr>
            <w:tcW w:w="0" w:type="auto"/>
            <w:vAlign w:val="center"/>
            <w:hideMark/>
          </w:tcPr>
          <w:p w:rsidR="00634A2A" w:rsidRPr="00634A2A" w:rsidRDefault="00634A2A" w:rsidP="00634A2A">
            <w:pPr>
              <w:jc w:val="both"/>
            </w:pPr>
            <w:bookmarkStart w:id="0" w:name="_GoBack"/>
            <w:bookmarkEnd w:id="0"/>
          </w:p>
        </w:tc>
      </w:tr>
    </w:tbl>
    <w:p w:rsidR="00634A2A" w:rsidRPr="00634A2A" w:rsidRDefault="00634A2A" w:rsidP="00634A2A">
      <w:pPr>
        <w:shd w:val="clear" w:color="auto" w:fill="FFFFFF"/>
        <w:spacing w:before="90"/>
        <w:jc w:val="both"/>
        <w:rPr>
          <w:color w:val="273350"/>
        </w:rPr>
      </w:pPr>
      <w:proofErr w:type="gramStart"/>
      <w:r w:rsidRPr="00634A2A">
        <w:rPr>
          <w:color w:val="273350"/>
        </w:rPr>
        <w:t>В рекомендациях, в частности, отражены особенности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операции, 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обстоятельств, предусмотрено допустимое отражение информации о должностях супругов, замещающих должности военной службы, указаны особенности отражения дохода лица, зарегистрированного в</w:t>
      </w:r>
      <w:proofErr w:type="gramEnd"/>
      <w:r w:rsidRPr="00634A2A">
        <w:rPr>
          <w:color w:val="273350"/>
        </w:rPr>
        <w:t xml:space="preserve"> </w:t>
      </w:r>
      <w:proofErr w:type="gramStart"/>
      <w:r w:rsidRPr="00634A2A">
        <w:rPr>
          <w:color w:val="273350"/>
        </w:rPr>
        <w:t>качестве индивидуального предпринимателя и применяющего несколько специальных налоговых режимов, определены особенности отражения счета цифрового рубля, указано на отсутствие необходимости отражать электронные средства платежа, и прочее.</w:t>
      </w:r>
      <w:proofErr w:type="gramEnd"/>
    </w:p>
    <w:p w:rsidR="004648B7" w:rsidRDefault="004648B7"/>
    <w:sectPr w:rsidR="0046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2A"/>
    <w:rsid w:val="004648B7"/>
    <w:rsid w:val="0063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34A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A2A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34A2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34A2A"/>
    <w:rPr>
      <w:b/>
      <w:bCs/>
    </w:rPr>
  </w:style>
  <w:style w:type="character" w:styleId="a5">
    <w:name w:val="Emphasis"/>
    <w:basedOn w:val="a0"/>
    <w:uiPriority w:val="20"/>
    <w:qFormat/>
    <w:rsid w:val="00634A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34A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A2A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34A2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34A2A"/>
    <w:rPr>
      <w:b/>
      <w:bCs/>
    </w:rPr>
  </w:style>
  <w:style w:type="character" w:styleId="a5">
    <w:name w:val="Emphasis"/>
    <w:basedOn w:val="a0"/>
    <w:uiPriority w:val="20"/>
    <w:qFormat/>
    <w:rsid w:val="00634A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0436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94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95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65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55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46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6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0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391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8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ПНД №1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2024-05-08T08:15:00Z</dcterms:created>
  <dcterms:modified xsi:type="dcterms:W3CDTF">2024-05-08T08:16:00Z</dcterms:modified>
</cp:coreProperties>
</file>